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F5" w:rsidRPr="00800FF5" w:rsidRDefault="00800FF5" w:rsidP="00800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00FF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00FF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</w:p>
    <w:p w:rsidR="00E37427" w:rsidRPr="00E37427" w:rsidRDefault="00E37427" w:rsidP="003F1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28F" w:rsidRPr="003F1ECC" w:rsidRDefault="0013028F" w:rsidP="0013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Mini-Grants for</w:t>
      </w:r>
    </w:p>
    <w:p w:rsidR="008A2AD7" w:rsidRDefault="008A2AD7" w:rsidP="0013028F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Behavioral Health Agencie</w:t>
      </w:r>
      <w:r w:rsidR="00AB6B24">
        <w:rPr>
          <w:rFonts w:ascii="Times New Roman" w:eastAsia="Times New Roman" w:hAnsi="Times New Roman" w:cs="Times New Roman"/>
          <w:b/>
          <w:sz w:val="28"/>
          <w:szCs w:val="28"/>
        </w:rPr>
        <w:t>s</w:t>
      </w:r>
    </w:p>
    <w:p w:rsidR="0013028F" w:rsidRDefault="0013028F" w:rsidP="0013028F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28F" w:rsidRPr="0087730F" w:rsidRDefault="0013028F" w:rsidP="0013028F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3028F">
        <w:rPr>
          <w:rFonts w:ascii="Times New Roman" w:eastAsia="Times New Roman" w:hAnsi="Times New Roman" w:cs="Times New Roman"/>
          <w:sz w:val="24"/>
          <w:szCs w:val="28"/>
        </w:rPr>
        <w:t xml:space="preserve">The MaineHealth Center for </w:t>
      </w:r>
      <w:r w:rsidRPr="0087730F">
        <w:rPr>
          <w:rFonts w:ascii="Times New Roman" w:eastAsia="Times New Roman" w:hAnsi="Times New Roman" w:cs="Times New Roman"/>
          <w:sz w:val="24"/>
          <w:szCs w:val="28"/>
        </w:rPr>
        <w:t>Tobacco Independence (CTI) is committed to supporting behavioral health agencies and providers to address tobacco use and exposure</w:t>
      </w:r>
      <w:r w:rsidR="00C41BB6" w:rsidRPr="0087730F">
        <w:rPr>
          <w:rFonts w:ascii="Times New Roman" w:eastAsia="Times New Roman" w:hAnsi="Times New Roman" w:cs="Times New Roman"/>
          <w:sz w:val="24"/>
          <w:szCs w:val="28"/>
        </w:rPr>
        <w:t xml:space="preserve"> by clients and staff</w:t>
      </w:r>
      <w:r w:rsidRPr="0087730F">
        <w:rPr>
          <w:rFonts w:ascii="Times New Roman" w:eastAsia="Times New Roman" w:hAnsi="Times New Roman" w:cs="Times New Roman"/>
          <w:sz w:val="24"/>
          <w:szCs w:val="28"/>
        </w:rPr>
        <w:t>.  T</w:t>
      </w:r>
      <w:r w:rsidR="00B421C5" w:rsidRPr="0087730F">
        <w:rPr>
          <w:rFonts w:ascii="Times New Roman" w:eastAsia="Times New Roman" w:hAnsi="Times New Roman" w:cs="Times New Roman"/>
          <w:sz w:val="24"/>
          <w:szCs w:val="28"/>
        </w:rPr>
        <w:t xml:space="preserve">here are multiple supports </w:t>
      </w:r>
      <w:r w:rsidRPr="0087730F">
        <w:rPr>
          <w:rFonts w:ascii="Times New Roman" w:eastAsia="Times New Roman" w:hAnsi="Times New Roman" w:cs="Times New Roman"/>
          <w:sz w:val="24"/>
          <w:szCs w:val="28"/>
        </w:rPr>
        <w:t>available, including</w:t>
      </w:r>
      <w:r w:rsidR="00B421C5" w:rsidRPr="0087730F">
        <w:rPr>
          <w:rFonts w:ascii="Times New Roman" w:eastAsia="Times New Roman" w:hAnsi="Times New Roman" w:cs="Times New Roman"/>
          <w:sz w:val="24"/>
          <w:szCs w:val="28"/>
        </w:rPr>
        <w:t>:</w:t>
      </w:r>
      <w:r w:rsidRPr="0087730F">
        <w:rPr>
          <w:rFonts w:ascii="Times New Roman" w:eastAsia="Times New Roman" w:hAnsi="Times New Roman" w:cs="Times New Roman"/>
          <w:sz w:val="24"/>
          <w:szCs w:val="28"/>
        </w:rPr>
        <w:t xml:space="preserve"> provider education and outreach, a series of trainings to support clinical capacity to treat tobacco use</w:t>
      </w:r>
      <w:r w:rsidR="0087730F" w:rsidRPr="0087730F">
        <w:rPr>
          <w:rFonts w:ascii="Times New Roman" w:eastAsia="Times New Roman" w:hAnsi="Times New Roman" w:cs="Times New Roman"/>
          <w:sz w:val="24"/>
          <w:szCs w:val="28"/>
        </w:rPr>
        <w:t xml:space="preserve"> as well as how to support a tobacco-free campus</w:t>
      </w:r>
      <w:r w:rsidRPr="0087730F">
        <w:rPr>
          <w:rFonts w:ascii="Times New Roman" w:eastAsia="Times New Roman" w:hAnsi="Times New Roman" w:cs="Times New Roman"/>
          <w:sz w:val="24"/>
          <w:szCs w:val="28"/>
        </w:rPr>
        <w:t xml:space="preserve">, recognition through the Gold Star Standards of Excellence program, and localized technical assistance on developing and implementing a comprehensive tobacco-free grounds policy.  </w:t>
      </w:r>
      <w:r w:rsidR="00B47A67">
        <w:rPr>
          <w:rFonts w:ascii="Times New Roman" w:eastAsia="Times New Roman" w:hAnsi="Times New Roman" w:cs="Times New Roman"/>
          <w:sz w:val="24"/>
          <w:szCs w:val="28"/>
        </w:rPr>
        <w:t>Further</w:t>
      </w:r>
      <w:r w:rsidR="0087730F" w:rsidRPr="0087730F">
        <w:rPr>
          <w:rFonts w:ascii="Times New Roman" w:eastAsia="Times New Roman" w:hAnsi="Times New Roman" w:cs="Times New Roman"/>
          <w:sz w:val="24"/>
          <w:szCs w:val="28"/>
        </w:rPr>
        <w:t xml:space="preserve"> information on services that CTI offers specific to behavioral health agencies and providers can also be found </w:t>
      </w:r>
      <w:hyperlink r:id="rId9" w:history="1">
        <w:r w:rsidR="0087730F" w:rsidRPr="00B47A67">
          <w:rPr>
            <w:rStyle w:val="Hyperlink"/>
            <w:rFonts w:ascii="Times New Roman" w:eastAsia="Times New Roman" w:hAnsi="Times New Roman" w:cs="Times New Roman"/>
            <w:sz w:val="24"/>
            <w:szCs w:val="28"/>
          </w:rPr>
          <w:t>here</w:t>
        </w:r>
      </w:hyperlink>
      <w:r w:rsidR="0087730F" w:rsidRPr="0087730F">
        <w:rPr>
          <w:rFonts w:ascii="Times New Roman" w:eastAsia="Times New Roman" w:hAnsi="Times New Roman" w:cs="Times New Roman"/>
          <w:sz w:val="24"/>
          <w:szCs w:val="28"/>
        </w:rPr>
        <w:t xml:space="preserve">.  </w:t>
      </w:r>
    </w:p>
    <w:p w:rsidR="00C41BB6" w:rsidRPr="0087730F" w:rsidRDefault="00C41BB6" w:rsidP="0013028F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41BB6" w:rsidRPr="0087730F" w:rsidRDefault="00B421C5" w:rsidP="0013028F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7730F">
        <w:rPr>
          <w:rFonts w:ascii="Times New Roman" w:eastAsia="Times New Roman" w:hAnsi="Times New Roman" w:cs="Times New Roman"/>
          <w:sz w:val="24"/>
          <w:szCs w:val="28"/>
        </w:rPr>
        <w:t>In order to support</w:t>
      </w:r>
      <w:r w:rsidR="00C41BB6" w:rsidRPr="0087730F">
        <w:rPr>
          <w:rFonts w:ascii="Times New Roman" w:eastAsia="Times New Roman" w:hAnsi="Times New Roman" w:cs="Times New Roman"/>
          <w:sz w:val="24"/>
          <w:szCs w:val="28"/>
        </w:rPr>
        <w:t xml:space="preserve"> agencies </w:t>
      </w:r>
      <w:r w:rsidR="00D4076D" w:rsidRPr="0087730F">
        <w:rPr>
          <w:rFonts w:ascii="Times New Roman" w:eastAsia="Times New Roman" w:hAnsi="Times New Roman" w:cs="Times New Roman"/>
          <w:sz w:val="24"/>
          <w:szCs w:val="28"/>
        </w:rPr>
        <w:t>in</w:t>
      </w:r>
      <w:r w:rsidR="00C41BB6" w:rsidRPr="0087730F">
        <w:rPr>
          <w:rFonts w:ascii="Times New Roman" w:eastAsia="Times New Roman" w:hAnsi="Times New Roman" w:cs="Times New Roman"/>
          <w:sz w:val="24"/>
          <w:szCs w:val="28"/>
        </w:rPr>
        <w:t xml:space="preserve"> developing and implementing a comprehensive tobacco policy, as well as increasing staff capacity to address tobacco us</w:t>
      </w:r>
      <w:r w:rsidR="00673412" w:rsidRPr="0087730F">
        <w:rPr>
          <w:rFonts w:ascii="Times New Roman" w:eastAsia="Times New Roman" w:hAnsi="Times New Roman" w:cs="Times New Roman"/>
          <w:sz w:val="24"/>
          <w:szCs w:val="28"/>
        </w:rPr>
        <w:t>e</w:t>
      </w:r>
      <w:r w:rsidR="00C41BB6" w:rsidRPr="0087730F">
        <w:rPr>
          <w:rFonts w:ascii="Times New Roman" w:eastAsia="Times New Roman" w:hAnsi="Times New Roman" w:cs="Times New Roman"/>
          <w:sz w:val="24"/>
          <w:szCs w:val="28"/>
        </w:rPr>
        <w:t xml:space="preserve">, CTI is making a limited number of mini-grants available.  </w:t>
      </w:r>
      <w:r w:rsidR="00673412" w:rsidRPr="0087730F">
        <w:rPr>
          <w:rFonts w:ascii="Times New Roman" w:eastAsia="Times New Roman" w:hAnsi="Times New Roman" w:cs="Times New Roman"/>
          <w:sz w:val="24"/>
          <w:szCs w:val="28"/>
        </w:rPr>
        <w:t>Funding is available as part of the larger Maine Prevention Services initiative of the Maine CDC, Department of Health and Human Services.</w:t>
      </w:r>
    </w:p>
    <w:p w:rsidR="00BD04A7" w:rsidRPr="0087730F" w:rsidRDefault="00BD04A7" w:rsidP="0013028F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D04A7" w:rsidRPr="0087730F" w:rsidRDefault="00BD04A7" w:rsidP="0013028F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7730F">
        <w:rPr>
          <w:rFonts w:ascii="Times New Roman" w:eastAsia="Times New Roman" w:hAnsi="Times New Roman" w:cs="Times New Roman"/>
          <w:sz w:val="24"/>
          <w:szCs w:val="28"/>
        </w:rPr>
        <w:t>The intent of this process and these</w:t>
      </w:r>
      <w:r w:rsidR="00673412" w:rsidRPr="0087730F">
        <w:rPr>
          <w:rFonts w:ascii="Times New Roman" w:eastAsia="Times New Roman" w:hAnsi="Times New Roman" w:cs="Times New Roman"/>
          <w:sz w:val="24"/>
          <w:szCs w:val="28"/>
        </w:rPr>
        <w:t xml:space="preserve"> resources is to be low-barrier.  P</w:t>
      </w:r>
      <w:r w:rsidRPr="0087730F">
        <w:rPr>
          <w:rFonts w:ascii="Times New Roman" w:eastAsia="Times New Roman" w:hAnsi="Times New Roman" w:cs="Times New Roman"/>
          <w:sz w:val="24"/>
          <w:szCs w:val="28"/>
        </w:rPr>
        <w:t>arameters to consider</w:t>
      </w:r>
      <w:r w:rsidR="00673412" w:rsidRPr="0087730F">
        <w:rPr>
          <w:rFonts w:ascii="Times New Roman" w:eastAsia="Times New Roman" w:hAnsi="Times New Roman" w:cs="Times New Roman"/>
          <w:sz w:val="24"/>
          <w:szCs w:val="28"/>
        </w:rPr>
        <w:t xml:space="preserve"> include</w:t>
      </w:r>
      <w:r w:rsidRPr="0087730F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BD04A7" w:rsidRPr="0087730F" w:rsidRDefault="00CC096B" w:rsidP="00BD04A7">
      <w:pPr>
        <w:pStyle w:val="ListParagraph"/>
        <w:numPr>
          <w:ilvl w:val="0"/>
          <w:numId w:val="2"/>
        </w:num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7730F">
        <w:rPr>
          <w:rFonts w:ascii="Times New Roman" w:eastAsia="Times New Roman" w:hAnsi="Times New Roman" w:cs="Times New Roman"/>
          <w:sz w:val="24"/>
          <w:szCs w:val="28"/>
        </w:rPr>
        <w:t>Interested</w:t>
      </w:r>
      <w:r w:rsidR="00BD04A7" w:rsidRPr="0087730F">
        <w:rPr>
          <w:rFonts w:ascii="Times New Roman" w:eastAsia="Times New Roman" w:hAnsi="Times New Roman" w:cs="Times New Roman"/>
          <w:sz w:val="24"/>
          <w:szCs w:val="28"/>
        </w:rPr>
        <w:t xml:space="preserve"> agencies must commit to taking steps towards a comprehensive tobacco-free policy if one does not already exist.</w:t>
      </w:r>
      <w:r w:rsidR="0087730F" w:rsidRPr="0087730F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B47A67">
        <w:rPr>
          <w:rFonts w:ascii="Times New Roman" w:eastAsia="Times New Roman" w:hAnsi="Times New Roman" w:cs="Times New Roman"/>
          <w:sz w:val="24"/>
          <w:szCs w:val="28"/>
        </w:rPr>
        <w:t>(</w:t>
      </w:r>
      <w:r w:rsidR="0087730F" w:rsidRPr="0087730F">
        <w:rPr>
          <w:rFonts w:ascii="Times New Roman" w:eastAsia="Times New Roman" w:hAnsi="Times New Roman" w:cs="Times New Roman"/>
          <w:sz w:val="24"/>
          <w:szCs w:val="28"/>
        </w:rPr>
        <w:t>Agencies that already have a comprehensive tobacco-free policy are still eligible to apply for a mini-grant.</w:t>
      </w:r>
      <w:r w:rsidR="00B47A67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BD04A7" w:rsidRPr="0087730F" w:rsidRDefault="00CC096B" w:rsidP="00BD04A7">
      <w:pPr>
        <w:pStyle w:val="ListParagraph"/>
        <w:numPr>
          <w:ilvl w:val="0"/>
          <w:numId w:val="2"/>
        </w:num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7730F">
        <w:rPr>
          <w:rFonts w:ascii="Times New Roman" w:eastAsia="Times New Roman" w:hAnsi="Times New Roman" w:cs="Times New Roman"/>
          <w:sz w:val="24"/>
          <w:szCs w:val="28"/>
        </w:rPr>
        <w:t>Interested agencies agree</w:t>
      </w:r>
      <w:r w:rsidR="00B421C5" w:rsidRPr="0087730F">
        <w:rPr>
          <w:rFonts w:ascii="Times New Roman" w:eastAsia="Times New Roman" w:hAnsi="Times New Roman" w:cs="Times New Roman"/>
          <w:sz w:val="24"/>
          <w:szCs w:val="28"/>
        </w:rPr>
        <w:t xml:space="preserve"> to work with CTI and local partners</w:t>
      </w:r>
      <w:r w:rsidRPr="0087730F">
        <w:rPr>
          <w:rFonts w:ascii="Times New Roman" w:eastAsia="Times New Roman" w:hAnsi="Times New Roman" w:cs="Times New Roman"/>
          <w:sz w:val="24"/>
          <w:szCs w:val="28"/>
        </w:rPr>
        <w:t xml:space="preserve"> in the utilization and / or implementation of tobacco-free resources, such as staff participation in trainings, posting of signs to communicate tobacco policies, or participation in the Gold Star Standards of Excellence program.</w:t>
      </w:r>
    </w:p>
    <w:p w:rsidR="0087730F" w:rsidRPr="0087730F" w:rsidRDefault="0087730F" w:rsidP="0087730F">
      <w:pPr>
        <w:pStyle w:val="ListParagraph"/>
        <w:numPr>
          <w:ilvl w:val="0"/>
          <w:numId w:val="2"/>
        </w:num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7730F">
        <w:rPr>
          <w:rFonts w:ascii="Times New Roman" w:eastAsia="Times New Roman" w:hAnsi="Times New Roman" w:cs="Times New Roman"/>
          <w:sz w:val="24"/>
          <w:szCs w:val="28"/>
        </w:rPr>
        <w:t>Applications will be reviewed on an incremental basis at both the mid-point and end of each month</w:t>
      </w:r>
      <w:r w:rsidR="008101C3">
        <w:rPr>
          <w:rFonts w:ascii="Times New Roman" w:eastAsia="Times New Roman" w:hAnsi="Times New Roman" w:cs="Times New Roman"/>
          <w:sz w:val="24"/>
          <w:szCs w:val="28"/>
        </w:rPr>
        <w:t xml:space="preserve"> for the months of March, April and May of 2019</w:t>
      </w:r>
      <w:r w:rsidRPr="0087730F">
        <w:rPr>
          <w:rFonts w:ascii="Times New Roman" w:eastAsia="Times New Roman" w:hAnsi="Times New Roman" w:cs="Times New Roman"/>
          <w:sz w:val="24"/>
          <w:szCs w:val="28"/>
        </w:rPr>
        <w:t>.  Applications can be submitted at any point, but must be submitted by May 31</w:t>
      </w:r>
      <w:r w:rsidRPr="0087730F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st</w:t>
      </w:r>
      <w:r w:rsidRPr="0087730F">
        <w:rPr>
          <w:rFonts w:ascii="Times New Roman" w:eastAsia="Times New Roman" w:hAnsi="Times New Roman" w:cs="Times New Roman"/>
          <w:sz w:val="24"/>
          <w:szCs w:val="28"/>
        </w:rPr>
        <w:t xml:space="preserve"> to be considered for funding.  </w:t>
      </w:r>
    </w:p>
    <w:p w:rsidR="0087730F" w:rsidRPr="0087730F" w:rsidRDefault="0087730F" w:rsidP="0087730F">
      <w:pPr>
        <w:pStyle w:val="ListParagraph"/>
        <w:numPr>
          <w:ilvl w:val="0"/>
          <w:numId w:val="2"/>
        </w:num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7730F">
        <w:rPr>
          <w:rFonts w:ascii="Times New Roman" w:eastAsia="Times New Roman" w:hAnsi="Times New Roman" w:cs="Times New Roman"/>
          <w:sz w:val="24"/>
          <w:szCs w:val="28"/>
        </w:rPr>
        <w:t xml:space="preserve">Applications will not be reviewed against each other (that is, the process is not competitive) but based on the need and intended work articulated in the </w:t>
      </w:r>
      <w:r w:rsidR="008101C3">
        <w:rPr>
          <w:rFonts w:ascii="Times New Roman" w:eastAsia="Times New Roman" w:hAnsi="Times New Roman" w:cs="Times New Roman"/>
          <w:sz w:val="24"/>
          <w:szCs w:val="28"/>
        </w:rPr>
        <w:t>application, as well as available funds.</w:t>
      </w:r>
    </w:p>
    <w:p w:rsidR="0013028F" w:rsidRPr="0087730F" w:rsidRDefault="0013028F" w:rsidP="003F1E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ECC" w:rsidRDefault="007334D6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30F">
        <w:rPr>
          <w:rFonts w:ascii="Times New Roman" w:eastAsia="Times New Roman" w:hAnsi="Times New Roman" w:cs="Times New Roman"/>
          <w:sz w:val="24"/>
          <w:szCs w:val="24"/>
        </w:rPr>
        <w:t xml:space="preserve">Please complete the </w:t>
      </w:r>
      <w:r w:rsidR="00BD04A7" w:rsidRPr="0087730F">
        <w:rPr>
          <w:rFonts w:ascii="Times New Roman" w:eastAsia="Times New Roman" w:hAnsi="Times New Roman" w:cs="Times New Roman"/>
          <w:sz w:val="24"/>
          <w:szCs w:val="24"/>
        </w:rPr>
        <w:t>application below</w:t>
      </w:r>
      <w:r w:rsidRPr="0087730F">
        <w:rPr>
          <w:rFonts w:ascii="Times New Roman" w:eastAsia="Times New Roman" w:hAnsi="Times New Roman" w:cs="Times New Roman"/>
          <w:sz w:val="24"/>
          <w:szCs w:val="24"/>
        </w:rPr>
        <w:t xml:space="preserve"> with brief but complete responses.  Reviewing the budget guidance </w:t>
      </w:r>
      <w:r w:rsidR="00BD04A7" w:rsidRPr="0087730F">
        <w:rPr>
          <w:rFonts w:ascii="Times New Roman" w:eastAsia="Times New Roman" w:hAnsi="Times New Roman" w:cs="Times New Roman"/>
          <w:sz w:val="24"/>
          <w:szCs w:val="24"/>
        </w:rPr>
        <w:t>below</w:t>
      </w:r>
      <w:r w:rsidRPr="0087730F">
        <w:rPr>
          <w:rFonts w:ascii="Times New Roman" w:eastAsia="Times New Roman" w:hAnsi="Times New Roman" w:cs="Times New Roman"/>
          <w:sz w:val="24"/>
          <w:szCs w:val="24"/>
        </w:rPr>
        <w:t xml:space="preserve"> will provide a sense of </w:t>
      </w:r>
      <w:r w:rsidR="0013028F" w:rsidRPr="0087730F">
        <w:rPr>
          <w:rFonts w:ascii="Times New Roman" w:eastAsia="Times New Roman" w:hAnsi="Times New Roman" w:cs="Times New Roman"/>
          <w:sz w:val="24"/>
          <w:szCs w:val="24"/>
        </w:rPr>
        <w:t xml:space="preserve">appropriate </w:t>
      </w:r>
      <w:r w:rsidRPr="0087730F">
        <w:rPr>
          <w:rFonts w:ascii="Times New Roman" w:eastAsia="Times New Roman" w:hAnsi="Times New Roman" w:cs="Times New Roman"/>
          <w:sz w:val="24"/>
          <w:szCs w:val="24"/>
        </w:rPr>
        <w:t>scope</w:t>
      </w:r>
      <w:r w:rsidR="00B421C5" w:rsidRPr="0087730F">
        <w:rPr>
          <w:rFonts w:ascii="Times New Roman" w:eastAsia="Times New Roman" w:hAnsi="Times New Roman" w:cs="Times New Roman"/>
          <w:sz w:val="24"/>
          <w:szCs w:val="24"/>
        </w:rPr>
        <w:t>/expenses</w:t>
      </w:r>
      <w:r w:rsidRPr="0087730F">
        <w:rPr>
          <w:rFonts w:ascii="Times New Roman" w:eastAsia="Times New Roman" w:hAnsi="Times New Roman" w:cs="Times New Roman"/>
          <w:sz w:val="24"/>
          <w:szCs w:val="24"/>
        </w:rPr>
        <w:t xml:space="preserve"> for these mini-grants</w:t>
      </w:r>
      <w:r w:rsidR="0013028F" w:rsidRPr="0087730F">
        <w:rPr>
          <w:rFonts w:ascii="Times New Roman" w:eastAsia="Times New Roman" w:hAnsi="Times New Roman" w:cs="Times New Roman"/>
          <w:sz w:val="24"/>
          <w:szCs w:val="24"/>
        </w:rPr>
        <w:t xml:space="preserve"> to en</w:t>
      </w:r>
      <w:r w:rsidRPr="0087730F">
        <w:rPr>
          <w:rFonts w:ascii="Times New Roman" w:eastAsia="Times New Roman" w:hAnsi="Times New Roman" w:cs="Times New Roman"/>
          <w:sz w:val="24"/>
          <w:szCs w:val="24"/>
        </w:rPr>
        <w:t xml:space="preserve">sure </w:t>
      </w:r>
      <w:r w:rsidR="0013028F" w:rsidRPr="0087730F"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r w:rsidRPr="0087730F">
        <w:rPr>
          <w:rFonts w:ascii="Times New Roman" w:eastAsia="Times New Roman" w:hAnsi="Times New Roman" w:cs="Times New Roman"/>
          <w:sz w:val="24"/>
          <w:szCs w:val="24"/>
        </w:rPr>
        <w:t>activities are allowable.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D04A7" w:rsidRDefault="00BD04A7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9828"/>
      </w:tblGrid>
      <w:tr w:rsidR="00BD04A7" w:rsidRPr="007334D6" w:rsidTr="0087730F">
        <w:trPr>
          <w:trHeight w:val="440"/>
          <w:jc w:val="center"/>
        </w:trPr>
        <w:tc>
          <w:tcPr>
            <w:tcW w:w="9828" w:type="dxa"/>
            <w:shd w:val="clear" w:color="auto" w:fill="92CDDC" w:themeFill="accent5" w:themeFillTint="99"/>
            <w:vAlign w:val="center"/>
          </w:tcPr>
          <w:p w:rsidR="00BD04A7" w:rsidRPr="007334D6" w:rsidRDefault="00BD04A7" w:rsidP="001202CF">
            <w:pPr>
              <w:jc w:val="center"/>
              <w:rPr>
                <w:sz w:val="24"/>
                <w:szCs w:val="24"/>
              </w:rPr>
            </w:pPr>
            <w:r w:rsidRPr="007334D6">
              <w:rPr>
                <w:sz w:val="24"/>
                <w:szCs w:val="24"/>
              </w:rPr>
              <w:t>Mini-Grants Budget Guidance</w:t>
            </w:r>
          </w:p>
        </w:tc>
      </w:tr>
      <w:tr w:rsidR="00CC096B" w:rsidRPr="007334D6" w:rsidTr="0087730F">
        <w:trPr>
          <w:trHeight w:val="440"/>
          <w:jc w:val="center"/>
        </w:trPr>
        <w:tc>
          <w:tcPr>
            <w:tcW w:w="9828" w:type="dxa"/>
            <w:shd w:val="clear" w:color="auto" w:fill="92CDDC" w:themeFill="accent5" w:themeFillTint="99"/>
            <w:vAlign w:val="center"/>
          </w:tcPr>
          <w:p w:rsidR="00CC096B" w:rsidRPr="007334D6" w:rsidRDefault="00CC096B" w:rsidP="00120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Funding can be used for the following purposes.  If other purposes are desired, please contact CTI at </w:t>
            </w:r>
            <w:hyperlink r:id="rId10" w:history="1">
              <w:r w:rsidR="005A751D" w:rsidRPr="004446C1">
                <w:rPr>
                  <w:rStyle w:val="Hyperlink"/>
                  <w:sz w:val="24"/>
                  <w:szCs w:val="24"/>
                </w:rPr>
                <w:t>TobaccoPreventionServices@mainehealth.org</w:t>
              </w:r>
            </w:hyperlink>
            <w:r w:rsidR="005A751D">
              <w:rPr>
                <w:sz w:val="24"/>
                <w:szCs w:val="24"/>
              </w:rPr>
              <w:t xml:space="preserve"> </w:t>
            </w:r>
            <w:r w:rsidR="008101C3">
              <w:rPr>
                <w:sz w:val="24"/>
                <w:szCs w:val="24"/>
              </w:rPr>
              <w:t>for more information</w:t>
            </w:r>
          </w:p>
        </w:tc>
      </w:tr>
      <w:tr w:rsidR="00BD04A7" w:rsidRPr="007334D6" w:rsidTr="0087730F">
        <w:trPr>
          <w:jc w:val="center"/>
        </w:trPr>
        <w:tc>
          <w:tcPr>
            <w:tcW w:w="9828" w:type="dxa"/>
          </w:tcPr>
          <w:p w:rsidR="00BD04A7" w:rsidRPr="007334D6" w:rsidRDefault="0087730F" w:rsidP="008101C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time dedicated to </w:t>
            </w:r>
            <w:r w:rsidR="008101C3">
              <w:rPr>
                <w:sz w:val="24"/>
                <w:szCs w:val="24"/>
              </w:rPr>
              <w:t xml:space="preserve">development and implementation </w:t>
            </w:r>
            <w:r>
              <w:rPr>
                <w:sz w:val="24"/>
                <w:szCs w:val="24"/>
              </w:rPr>
              <w:t>of a tobacco-free policy</w:t>
            </w:r>
            <w:r w:rsidR="00503092">
              <w:rPr>
                <w:sz w:val="24"/>
                <w:szCs w:val="24"/>
              </w:rPr>
              <w:t>, to include compliance with the policy as well as support in rolling out a policy</w:t>
            </w:r>
          </w:p>
        </w:tc>
      </w:tr>
      <w:tr w:rsidR="00BD04A7" w:rsidRPr="007334D6" w:rsidTr="0087730F">
        <w:trPr>
          <w:jc w:val="center"/>
        </w:trPr>
        <w:tc>
          <w:tcPr>
            <w:tcW w:w="9828" w:type="dxa"/>
          </w:tcPr>
          <w:p w:rsidR="00BD04A7" w:rsidRPr="003204CF" w:rsidRDefault="00BD04A7" w:rsidP="003204CF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7334D6">
              <w:rPr>
                <w:sz w:val="24"/>
                <w:szCs w:val="24"/>
              </w:rPr>
              <w:t xml:space="preserve">Necessary </w:t>
            </w:r>
            <w:r w:rsidR="003204CF">
              <w:rPr>
                <w:sz w:val="24"/>
                <w:szCs w:val="24"/>
              </w:rPr>
              <w:t xml:space="preserve">materials or </w:t>
            </w:r>
            <w:r w:rsidRPr="007334D6">
              <w:rPr>
                <w:sz w:val="24"/>
                <w:szCs w:val="24"/>
              </w:rPr>
              <w:t xml:space="preserve">supplies </w:t>
            </w:r>
          </w:p>
        </w:tc>
      </w:tr>
      <w:tr w:rsidR="00BD04A7" w:rsidRPr="007334D6" w:rsidTr="0087730F">
        <w:trPr>
          <w:jc w:val="center"/>
        </w:trPr>
        <w:tc>
          <w:tcPr>
            <w:tcW w:w="9828" w:type="dxa"/>
          </w:tcPr>
          <w:p w:rsidR="00BD04A7" w:rsidRPr="007334D6" w:rsidRDefault="003204CF" w:rsidP="003204CF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participation in training and education </w:t>
            </w:r>
            <w:r w:rsidR="0087730F">
              <w:rPr>
                <w:sz w:val="24"/>
                <w:szCs w:val="24"/>
              </w:rPr>
              <w:t xml:space="preserve"> (including but not limited to those provided by CTI through its Basics and Intensive series as well as its outreach sessions)</w:t>
            </w:r>
          </w:p>
        </w:tc>
      </w:tr>
    </w:tbl>
    <w:p w:rsidR="00BD04A7" w:rsidRPr="003F1ECC" w:rsidRDefault="00BD04A7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51D" w:rsidRDefault="005A751D">
      <w:r>
        <w:br w:type="page"/>
      </w:r>
    </w:p>
    <w:p w:rsidR="005A751D" w:rsidRDefault="005A751D" w:rsidP="003F1ECC">
      <w:pPr>
        <w:spacing w:after="0" w:line="240" w:lineRule="auto"/>
      </w:pPr>
    </w:p>
    <w:p w:rsidR="005A751D" w:rsidRDefault="005A751D" w:rsidP="003F1ECC">
      <w:pPr>
        <w:spacing w:after="0" w:line="240" w:lineRule="auto"/>
      </w:pPr>
    </w:p>
    <w:p w:rsidR="005A751D" w:rsidRDefault="005A751D" w:rsidP="003F1ECC">
      <w:pPr>
        <w:spacing w:after="0" w:line="240" w:lineRule="auto"/>
      </w:pPr>
    </w:p>
    <w:p w:rsidR="005A751D" w:rsidRDefault="005A751D" w:rsidP="003F1ECC">
      <w:pPr>
        <w:spacing w:after="0" w:line="240" w:lineRule="auto"/>
      </w:pPr>
    </w:p>
    <w:p w:rsidR="005A751D" w:rsidRPr="003F1ECC" w:rsidRDefault="005A751D" w:rsidP="005A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Mini-Grants for</w:t>
      </w:r>
    </w:p>
    <w:p w:rsidR="005A751D" w:rsidRDefault="005A751D" w:rsidP="005A751D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Behavioral Health Agencies</w:t>
      </w:r>
    </w:p>
    <w:p w:rsidR="005A751D" w:rsidRDefault="005A751D" w:rsidP="005A751D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Application</w:t>
      </w:r>
    </w:p>
    <w:p w:rsidR="005A751D" w:rsidRDefault="005A751D" w:rsidP="003F1ECC">
      <w:pPr>
        <w:spacing w:after="0" w:line="240" w:lineRule="auto"/>
      </w:pPr>
    </w:p>
    <w:p w:rsidR="00F804C2" w:rsidRDefault="00F804C2" w:rsidP="003F1ECC">
      <w:pPr>
        <w:spacing w:after="0" w:line="240" w:lineRule="auto"/>
      </w:pPr>
    </w:p>
    <w:p w:rsidR="00F804C2" w:rsidRPr="00F804C2" w:rsidRDefault="00F804C2" w:rsidP="00F8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F804C2">
        <w:rPr>
          <w:rFonts w:ascii="Times New Roman" w:eastAsia="Times New Roman" w:hAnsi="Times New Roman" w:cs="Times New Roman"/>
          <w:sz w:val="24"/>
          <w:szCs w:val="32"/>
        </w:rPr>
        <w:t>Agency Name:</w:t>
      </w:r>
    </w:p>
    <w:p w:rsidR="00F804C2" w:rsidRPr="00F804C2" w:rsidRDefault="00F804C2" w:rsidP="00F8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F804C2">
        <w:rPr>
          <w:rFonts w:ascii="Times New Roman" w:eastAsia="Times New Roman" w:hAnsi="Times New Roman" w:cs="Times New Roman"/>
          <w:sz w:val="24"/>
          <w:szCs w:val="32"/>
        </w:rPr>
        <w:t>Primary Point of Contact (Name):</w:t>
      </w:r>
    </w:p>
    <w:p w:rsidR="00F804C2" w:rsidRPr="00F804C2" w:rsidRDefault="00F804C2" w:rsidP="00F8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F804C2">
        <w:rPr>
          <w:rFonts w:ascii="Times New Roman" w:eastAsia="Times New Roman" w:hAnsi="Times New Roman" w:cs="Times New Roman"/>
          <w:sz w:val="24"/>
          <w:szCs w:val="32"/>
        </w:rPr>
        <w:t>Primary Point of Contact (Email):</w:t>
      </w:r>
    </w:p>
    <w:p w:rsidR="00F804C2" w:rsidRDefault="00F804C2" w:rsidP="003F1ECC">
      <w:pPr>
        <w:spacing w:after="0" w:line="240" w:lineRule="auto"/>
      </w:pPr>
    </w:p>
    <w:p w:rsidR="00F804C2" w:rsidRDefault="00F804C2" w:rsidP="003F1ECC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5A751D" w:rsidTr="00F804C2">
        <w:trPr>
          <w:jc w:val="center"/>
        </w:trPr>
        <w:tc>
          <w:tcPr>
            <w:tcW w:w="10070" w:type="dxa"/>
          </w:tcPr>
          <w:p w:rsidR="005A751D" w:rsidRPr="005A751D" w:rsidRDefault="005A751D" w:rsidP="00F804C2">
            <w:pPr>
              <w:pStyle w:val="ListParagraph"/>
              <w:numPr>
                <w:ilvl w:val="0"/>
                <w:numId w:val="3"/>
              </w:numPr>
            </w:pPr>
            <w:r>
              <w:t>What does your agency’s tobacco policy</w:t>
            </w:r>
            <w:r w:rsidR="00653D3F">
              <w:t xml:space="preserve"> / policies</w:t>
            </w:r>
            <w:r>
              <w:t xml:space="preserve"> currently address as it relates to agency grounds as well as staff </w:t>
            </w:r>
            <w:r w:rsidR="001A168E">
              <w:t>training and treatment planning?</w:t>
            </w:r>
          </w:p>
        </w:tc>
      </w:tr>
      <w:tr w:rsidR="005A751D" w:rsidTr="00F804C2">
        <w:trPr>
          <w:jc w:val="center"/>
        </w:trPr>
        <w:tc>
          <w:tcPr>
            <w:tcW w:w="10070" w:type="dxa"/>
          </w:tcPr>
          <w:p w:rsidR="005A751D" w:rsidRDefault="005A751D" w:rsidP="00F804C2"/>
        </w:tc>
      </w:tr>
    </w:tbl>
    <w:p w:rsidR="005A751D" w:rsidRDefault="005A751D" w:rsidP="00F804C2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673412" w:rsidTr="00F804C2">
        <w:trPr>
          <w:jc w:val="center"/>
        </w:trPr>
        <w:tc>
          <w:tcPr>
            <w:tcW w:w="10070" w:type="dxa"/>
          </w:tcPr>
          <w:p w:rsidR="00673412" w:rsidRPr="005A751D" w:rsidRDefault="00673412" w:rsidP="00F804C2">
            <w:pPr>
              <w:pStyle w:val="ListParagraph"/>
              <w:numPr>
                <w:ilvl w:val="0"/>
                <w:numId w:val="3"/>
              </w:numPr>
            </w:pPr>
            <w:r>
              <w:t xml:space="preserve">If the policy is not comprehensive (that is, </w:t>
            </w:r>
            <w:r w:rsidR="00653D3F">
              <w:t xml:space="preserve">the agency is </w:t>
            </w:r>
            <w:r>
              <w:t>not 100% tobacco free), describe steps the agency is con</w:t>
            </w:r>
            <w:r w:rsidR="00653D3F">
              <w:t>sidering to become tobacco free.</w:t>
            </w:r>
          </w:p>
        </w:tc>
      </w:tr>
      <w:tr w:rsidR="00673412" w:rsidTr="00F804C2">
        <w:trPr>
          <w:jc w:val="center"/>
        </w:trPr>
        <w:tc>
          <w:tcPr>
            <w:tcW w:w="10070" w:type="dxa"/>
          </w:tcPr>
          <w:p w:rsidR="00673412" w:rsidRDefault="00673412" w:rsidP="00F804C2"/>
        </w:tc>
      </w:tr>
    </w:tbl>
    <w:p w:rsidR="005A751D" w:rsidRDefault="005A751D" w:rsidP="00F804C2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673412" w:rsidTr="00F804C2">
        <w:trPr>
          <w:jc w:val="center"/>
        </w:trPr>
        <w:tc>
          <w:tcPr>
            <w:tcW w:w="10070" w:type="dxa"/>
          </w:tcPr>
          <w:p w:rsidR="00673412" w:rsidRPr="005A751D" w:rsidRDefault="00443B09" w:rsidP="00F804C2">
            <w:pPr>
              <w:pStyle w:val="ListParagraph"/>
              <w:numPr>
                <w:ilvl w:val="0"/>
                <w:numId w:val="3"/>
              </w:numPr>
            </w:pPr>
            <w:r>
              <w:t xml:space="preserve">Briefly describe </w:t>
            </w:r>
            <w:r w:rsidR="0087730F">
              <w:t xml:space="preserve">historical </w:t>
            </w:r>
            <w:r>
              <w:t>efforts the agency has made to address tobacco use and exposure, including policy efforts, staff t</w:t>
            </w:r>
            <w:r w:rsidR="00B421C5">
              <w:t xml:space="preserve">raining, and treatment planning. </w:t>
            </w:r>
            <w:r w:rsidR="00B421C5" w:rsidRPr="0087730F">
              <w:t>Please provide a sense of your agency’s readiness to become tobacco free</w:t>
            </w:r>
            <w:r w:rsidR="00CE625C">
              <w:t xml:space="preserve"> based on these efforts, or, if already tobacco free, readiness to strengthen best practices for treatment, training and policy implementation.</w:t>
            </w:r>
          </w:p>
        </w:tc>
      </w:tr>
      <w:tr w:rsidR="00673412" w:rsidTr="00F804C2">
        <w:trPr>
          <w:jc w:val="center"/>
        </w:trPr>
        <w:tc>
          <w:tcPr>
            <w:tcW w:w="10070" w:type="dxa"/>
          </w:tcPr>
          <w:p w:rsidR="00673412" w:rsidRDefault="00673412" w:rsidP="00F804C2"/>
        </w:tc>
      </w:tr>
    </w:tbl>
    <w:p w:rsidR="00673412" w:rsidRDefault="00673412" w:rsidP="00F804C2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443B09" w:rsidTr="00F804C2">
        <w:trPr>
          <w:jc w:val="center"/>
        </w:trPr>
        <w:tc>
          <w:tcPr>
            <w:tcW w:w="10070" w:type="dxa"/>
          </w:tcPr>
          <w:p w:rsidR="00443B09" w:rsidRPr="005A751D" w:rsidRDefault="0087730F" w:rsidP="00F804C2">
            <w:pPr>
              <w:pStyle w:val="ListParagraph"/>
              <w:numPr>
                <w:ilvl w:val="0"/>
                <w:numId w:val="3"/>
              </w:numPr>
            </w:pPr>
            <w:r>
              <w:t>W</w:t>
            </w:r>
            <w:r w:rsidR="00677CDD">
              <w:t xml:space="preserve">hat does </w:t>
            </w:r>
            <w:r>
              <w:t xml:space="preserve">your agency </w:t>
            </w:r>
            <w:r w:rsidR="00677CDD">
              <w:t>hope to accomplish</w:t>
            </w:r>
            <w:r>
              <w:t xml:space="preserve"> with the mini-grant</w:t>
            </w:r>
            <w:r w:rsidR="001A168E">
              <w:t>?</w:t>
            </w:r>
          </w:p>
        </w:tc>
      </w:tr>
      <w:tr w:rsidR="00443B09" w:rsidTr="00F804C2">
        <w:trPr>
          <w:jc w:val="center"/>
        </w:trPr>
        <w:tc>
          <w:tcPr>
            <w:tcW w:w="10070" w:type="dxa"/>
          </w:tcPr>
          <w:p w:rsidR="00443B09" w:rsidRDefault="00443B09" w:rsidP="00F804C2"/>
        </w:tc>
      </w:tr>
    </w:tbl>
    <w:p w:rsidR="001A168E" w:rsidRPr="00800FF5" w:rsidRDefault="001A168E" w:rsidP="00F804C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70"/>
      </w:tblGrid>
      <w:tr w:rsidR="001A168E" w:rsidTr="00F804C2">
        <w:trPr>
          <w:jc w:val="center"/>
        </w:trPr>
        <w:tc>
          <w:tcPr>
            <w:tcW w:w="10070" w:type="dxa"/>
          </w:tcPr>
          <w:p w:rsidR="001A168E" w:rsidRPr="005A751D" w:rsidRDefault="001A168E" w:rsidP="00F804C2">
            <w:pPr>
              <w:pStyle w:val="ListParagraph"/>
              <w:numPr>
                <w:ilvl w:val="0"/>
                <w:numId w:val="3"/>
              </w:numPr>
            </w:pPr>
            <w:r>
              <w:t xml:space="preserve">How does the mini-grant factor into the broader approach </w:t>
            </w:r>
            <w:r w:rsidR="0087730F">
              <w:t xml:space="preserve">of addressing </w:t>
            </w:r>
            <w:r>
              <w:t>to tobacco exposure and treatment that your agency is taking?</w:t>
            </w:r>
          </w:p>
        </w:tc>
      </w:tr>
      <w:tr w:rsidR="001A168E" w:rsidTr="00F804C2">
        <w:trPr>
          <w:jc w:val="center"/>
        </w:trPr>
        <w:tc>
          <w:tcPr>
            <w:tcW w:w="10070" w:type="dxa"/>
          </w:tcPr>
          <w:p w:rsidR="001A168E" w:rsidRDefault="001A168E" w:rsidP="00F804C2"/>
        </w:tc>
      </w:tr>
    </w:tbl>
    <w:p w:rsidR="00800FF5" w:rsidRDefault="00800FF5" w:rsidP="00800F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0FF5" w:rsidRPr="00800FF5" w:rsidRDefault="00800FF5" w:rsidP="00800F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0FF5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                                                                    </w:t>
      </w:r>
    </w:p>
    <w:p w:rsidR="00D4076D" w:rsidRDefault="00D4076D" w:rsidP="003F1E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73412" w:rsidRDefault="00F804C2" w:rsidP="00F804C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FMI, and to submit the application and budget:</w:t>
      </w:r>
    </w:p>
    <w:p w:rsidR="00F804C2" w:rsidRDefault="00F27E9E" w:rsidP="00F804C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11" w:history="1">
        <w:r w:rsidR="00F804C2" w:rsidRPr="00843CDD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</w:rPr>
          <w:t>TobaccoPreventionServices@mainehealth.org</w:t>
        </w:r>
      </w:hyperlink>
    </w:p>
    <w:p w:rsidR="00673412" w:rsidRDefault="00673412" w:rsidP="003F1E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73412" w:rsidRDefault="00673412" w:rsidP="003F1E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73412" w:rsidRDefault="00673412" w:rsidP="003F1E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04C2" w:rsidRDefault="00F804C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804C2" w:rsidRDefault="00F804C2" w:rsidP="00673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C2" w:rsidRDefault="00F804C2" w:rsidP="00673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C2" w:rsidRDefault="00F804C2" w:rsidP="00673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412" w:rsidRPr="003F1ECC" w:rsidRDefault="00673412" w:rsidP="00673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Mini-Grants for</w:t>
      </w:r>
    </w:p>
    <w:p w:rsidR="00673412" w:rsidRDefault="00673412" w:rsidP="00673412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Behavioral Health Agencies</w:t>
      </w:r>
    </w:p>
    <w:p w:rsidR="00673412" w:rsidRDefault="00673412" w:rsidP="00673412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Budget </w:t>
      </w:r>
    </w:p>
    <w:p w:rsidR="00F804C2" w:rsidRDefault="00F804C2" w:rsidP="00F8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F804C2" w:rsidRPr="00F804C2" w:rsidRDefault="00F804C2" w:rsidP="00F8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F804C2">
        <w:rPr>
          <w:rFonts w:ascii="Times New Roman" w:eastAsia="Times New Roman" w:hAnsi="Times New Roman" w:cs="Times New Roman"/>
          <w:sz w:val="24"/>
          <w:szCs w:val="32"/>
        </w:rPr>
        <w:t>Agency Name:</w:t>
      </w:r>
    </w:p>
    <w:p w:rsidR="00F804C2" w:rsidRPr="00F804C2" w:rsidRDefault="00F804C2" w:rsidP="00F8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F804C2">
        <w:rPr>
          <w:rFonts w:ascii="Times New Roman" w:eastAsia="Times New Roman" w:hAnsi="Times New Roman" w:cs="Times New Roman"/>
          <w:sz w:val="24"/>
          <w:szCs w:val="32"/>
        </w:rPr>
        <w:t>Primary Point of Contact (Name):</w:t>
      </w:r>
    </w:p>
    <w:p w:rsidR="00F804C2" w:rsidRPr="00F804C2" w:rsidRDefault="00F804C2" w:rsidP="00F8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F804C2">
        <w:rPr>
          <w:rFonts w:ascii="Times New Roman" w:eastAsia="Times New Roman" w:hAnsi="Times New Roman" w:cs="Times New Roman"/>
          <w:sz w:val="24"/>
          <w:szCs w:val="32"/>
        </w:rPr>
        <w:t>Primary Point of Contact (Email):</w:t>
      </w:r>
    </w:p>
    <w:p w:rsidR="007334D6" w:rsidRDefault="007334D6" w:rsidP="003F1E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B5FD5" w:rsidRDefault="005B5FD5" w:rsidP="003F1E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34D6" w:rsidRPr="003F1ECC" w:rsidRDefault="007334D6" w:rsidP="003F1E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F1ECC" w:rsidRPr="003F1ECC" w:rsidRDefault="003F1ECC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291" w:tblpY="4546"/>
        <w:tblW w:w="0" w:type="auto"/>
        <w:tblLook w:val="04A0" w:firstRow="1" w:lastRow="0" w:firstColumn="1" w:lastColumn="0" w:noHBand="0" w:noVBand="1"/>
      </w:tblPr>
      <w:tblGrid>
        <w:gridCol w:w="5418"/>
        <w:gridCol w:w="4230"/>
      </w:tblGrid>
      <w:tr w:rsidR="00BD04A7" w:rsidRPr="003F1ECC" w:rsidTr="00F804C2">
        <w:tc>
          <w:tcPr>
            <w:tcW w:w="9648" w:type="dxa"/>
            <w:gridSpan w:val="2"/>
            <w:shd w:val="clear" w:color="auto" w:fill="92CDDC" w:themeFill="accent5" w:themeFillTint="99"/>
            <w:vAlign w:val="center"/>
          </w:tcPr>
          <w:p w:rsidR="00BD04A7" w:rsidRPr="003F1ECC" w:rsidRDefault="00BD04A7" w:rsidP="00F804C2">
            <w:pPr>
              <w:rPr>
                <w:sz w:val="24"/>
                <w:szCs w:val="24"/>
              </w:rPr>
            </w:pPr>
            <w:r w:rsidRPr="003F1ECC">
              <w:rPr>
                <w:b/>
                <w:bCs/>
                <w:sz w:val="28"/>
                <w:szCs w:val="28"/>
              </w:rPr>
              <w:t xml:space="preserve">Agency Name: </w:t>
            </w:r>
          </w:p>
        </w:tc>
      </w:tr>
      <w:tr w:rsidR="00BD04A7" w:rsidRPr="003F1ECC" w:rsidTr="00F804C2">
        <w:tc>
          <w:tcPr>
            <w:tcW w:w="9648" w:type="dxa"/>
            <w:gridSpan w:val="2"/>
          </w:tcPr>
          <w:p w:rsidR="00BD04A7" w:rsidRPr="003F1ECC" w:rsidRDefault="00BD04A7" w:rsidP="00F804C2">
            <w:pPr>
              <w:rPr>
                <w:sz w:val="24"/>
                <w:szCs w:val="24"/>
              </w:rPr>
            </w:pPr>
          </w:p>
          <w:p w:rsidR="00BD04A7" w:rsidRDefault="00BD04A7" w:rsidP="00F804C2">
            <w:pPr>
              <w:rPr>
                <w:b/>
                <w:sz w:val="24"/>
                <w:szCs w:val="24"/>
              </w:rPr>
            </w:pPr>
            <w:r w:rsidRPr="003F1ECC">
              <w:rPr>
                <w:b/>
                <w:sz w:val="24"/>
                <w:szCs w:val="24"/>
              </w:rPr>
              <w:t xml:space="preserve">   </w:t>
            </w:r>
            <w:r w:rsidR="0087730F">
              <w:rPr>
                <w:b/>
                <w:sz w:val="24"/>
                <w:szCs w:val="24"/>
              </w:rPr>
              <w:t>Budget</w:t>
            </w:r>
            <w:r>
              <w:rPr>
                <w:b/>
                <w:sz w:val="24"/>
                <w:szCs w:val="24"/>
              </w:rPr>
              <w:t xml:space="preserve"> Narrative: </w:t>
            </w:r>
          </w:p>
          <w:p w:rsidR="00BD04A7" w:rsidRDefault="00BD04A7" w:rsidP="00F804C2">
            <w:pPr>
              <w:rPr>
                <w:b/>
                <w:sz w:val="24"/>
                <w:szCs w:val="24"/>
              </w:rPr>
            </w:pPr>
          </w:p>
          <w:p w:rsidR="00BD04A7" w:rsidRPr="003F1ECC" w:rsidRDefault="00BD04A7" w:rsidP="00F804C2">
            <w:pPr>
              <w:rPr>
                <w:sz w:val="24"/>
                <w:szCs w:val="24"/>
              </w:rPr>
            </w:pPr>
          </w:p>
        </w:tc>
      </w:tr>
      <w:tr w:rsidR="005B5FD5" w:rsidRPr="003F1ECC" w:rsidTr="00F804C2">
        <w:tc>
          <w:tcPr>
            <w:tcW w:w="5418" w:type="dxa"/>
          </w:tcPr>
          <w:p w:rsidR="005B5FD5" w:rsidRDefault="005B5FD5" w:rsidP="00F804C2">
            <w:pPr>
              <w:rPr>
                <w:sz w:val="24"/>
                <w:szCs w:val="24"/>
              </w:rPr>
            </w:pPr>
          </w:p>
          <w:p w:rsidR="005B5FD5" w:rsidRPr="00677CDD" w:rsidRDefault="005B5FD5" w:rsidP="00F804C2">
            <w:pPr>
              <w:ind w:left="162"/>
              <w:rPr>
                <w:b/>
                <w:sz w:val="24"/>
                <w:szCs w:val="24"/>
              </w:rPr>
            </w:pPr>
            <w:r w:rsidRPr="00677CDD">
              <w:rPr>
                <w:b/>
                <w:sz w:val="24"/>
                <w:szCs w:val="24"/>
              </w:rPr>
              <w:t>Personnel</w:t>
            </w:r>
          </w:p>
          <w:p w:rsidR="005B5FD5" w:rsidRDefault="00677CDD" w:rsidP="00F804C2">
            <w:pPr>
              <w:ind w:left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(add as many lines as appropriate, with role and estimated time)</w:t>
            </w:r>
          </w:p>
          <w:p w:rsidR="00677CDD" w:rsidRDefault="00677CDD" w:rsidP="00F804C2">
            <w:pPr>
              <w:ind w:left="522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5B5FD5" w:rsidRDefault="005B5FD5" w:rsidP="00F804C2">
            <w:pPr>
              <w:rPr>
                <w:sz w:val="24"/>
                <w:szCs w:val="24"/>
              </w:rPr>
            </w:pPr>
          </w:p>
          <w:p w:rsidR="005B5FD5" w:rsidRDefault="005B5FD5" w:rsidP="00F804C2">
            <w:pPr>
              <w:rPr>
                <w:sz w:val="24"/>
                <w:szCs w:val="24"/>
              </w:rPr>
            </w:pPr>
          </w:p>
          <w:p w:rsidR="005B5FD5" w:rsidRPr="003F1ECC" w:rsidRDefault="005B5FD5" w:rsidP="00F80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D04A7" w:rsidRPr="003F1ECC" w:rsidTr="00F804C2">
        <w:tc>
          <w:tcPr>
            <w:tcW w:w="5418" w:type="dxa"/>
          </w:tcPr>
          <w:p w:rsidR="00BD04A7" w:rsidRPr="003F1ECC" w:rsidRDefault="00BD04A7" w:rsidP="00F804C2">
            <w:pPr>
              <w:rPr>
                <w:sz w:val="24"/>
                <w:szCs w:val="24"/>
              </w:rPr>
            </w:pPr>
          </w:p>
          <w:p w:rsidR="00BD04A7" w:rsidRPr="00E378EE" w:rsidRDefault="00BD04A7" w:rsidP="00F804C2">
            <w:pPr>
              <w:rPr>
                <w:b/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 xml:space="preserve">  </w:t>
            </w:r>
            <w:r w:rsidRPr="003F1ECC">
              <w:rPr>
                <w:b/>
                <w:sz w:val="24"/>
                <w:szCs w:val="24"/>
              </w:rPr>
              <w:t xml:space="preserve">Travel &amp; </w:t>
            </w:r>
            <w:r>
              <w:rPr>
                <w:b/>
                <w:sz w:val="24"/>
                <w:szCs w:val="24"/>
              </w:rPr>
              <w:t xml:space="preserve">Training / </w:t>
            </w:r>
            <w:r w:rsidRPr="003F1ECC">
              <w:rPr>
                <w:b/>
                <w:sz w:val="24"/>
                <w:szCs w:val="24"/>
              </w:rPr>
              <w:t>Education</w:t>
            </w:r>
          </w:p>
          <w:p w:rsidR="00BD04A7" w:rsidRPr="003F1ECC" w:rsidRDefault="00BD04A7" w:rsidP="00F804C2">
            <w:pPr>
              <w:rPr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 xml:space="preserve">        Mileage</w:t>
            </w:r>
          </w:p>
          <w:p w:rsidR="00BD04A7" w:rsidRPr="003F1ECC" w:rsidRDefault="00BD04A7" w:rsidP="00F804C2">
            <w:pPr>
              <w:rPr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 xml:space="preserve">        Lodging</w:t>
            </w:r>
            <w:r>
              <w:rPr>
                <w:sz w:val="24"/>
                <w:szCs w:val="24"/>
              </w:rPr>
              <w:t>/Food</w:t>
            </w:r>
          </w:p>
          <w:p w:rsidR="00BD04A7" w:rsidRDefault="00BD04A7" w:rsidP="00F80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Training Registration</w:t>
            </w:r>
          </w:p>
          <w:p w:rsidR="00BD04A7" w:rsidRPr="003F1ECC" w:rsidRDefault="00BD04A7" w:rsidP="00F804C2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BD04A7" w:rsidRPr="003F1ECC" w:rsidRDefault="00BD04A7" w:rsidP="00F804C2">
            <w:pPr>
              <w:rPr>
                <w:sz w:val="24"/>
                <w:szCs w:val="24"/>
              </w:rPr>
            </w:pPr>
          </w:p>
          <w:p w:rsidR="00BD04A7" w:rsidRPr="003F1ECC" w:rsidRDefault="00BD04A7" w:rsidP="00F804C2">
            <w:pPr>
              <w:rPr>
                <w:sz w:val="24"/>
                <w:szCs w:val="24"/>
              </w:rPr>
            </w:pPr>
          </w:p>
          <w:p w:rsidR="00BD04A7" w:rsidRPr="003F1ECC" w:rsidRDefault="00BD04A7" w:rsidP="00F804C2">
            <w:pPr>
              <w:rPr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>$</w:t>
            </w:r>
          </w:p>
          <w:p w:rsidR="00BD04A7" w:rsidRPr="003F1ECC" w:rsidRDefault="00BD04A7" w:rsidP="00F804C2">
            <w:pPr>
              <w:rPr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>$</w:t>
            </w:r>
          </w:p>
          <w:p w:rsidR="00BD04A7" w:rsidRPr="003F1ECC" w:rsidRDefault="00BD04A7" w:rsidP="00F804C2">
            <w:pPr>
              <w:rPr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>$</w:t>
            </w:r>
          </w:p>
          <w:p w:rsidR="00BD04A7" w:rsidRPr="003F1ECC" w:rsidRDefault="00BD04A7" w:rsidP="00F804C2">
            <w:pPr>
              <w:rPr>
                <w:sz w:val="24"/>
                <w:szCs w:val="24"/>
              </w:rPr>
            </w:pPr>
          </w:p>
        </w:tc>
      </w:tr>
      <w:tr w:rsidR="00BD04A7" w:rsidRPr="003F1ECC" w:rsidTr="00F804C2">
        <w:tc>
          <w:tcPr>
            <w:tcW w:w="5418" w:type="dxa"/>
            <w:tcBorders>
              <w:bottom w:val="single" w:sz="4" w:space="0" w:color="auto"/>
            </w:tcBorders>
          </w:tcPr>
          <w:p w:rsidR="00BD04A7" w:rsidRPr="003F1ECC" w:rsidRDefault="00BD04A7" w:rsidP="00F804C2">
            <w:pPr>
              <w:rPr>
                <w:sz w:val="24"/>
                <w:szCs w:val="24"/>
              </w:rPr>
            </w:pPr>
          </w:p>
          <w:p w:rsidR="00BD04A7" w:rsidRPr="003F1ECC" w:rsidRDefault="00BD04A7" w:rsidP="00F804C2">
            <w:pPr>
              <w:rPr>
                <w:b/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 xml:space="preserve">  </w:t>
            </w:r>
            <w:r w:rsidRPr="003F1ECC">
              <w:rPr>
                <w:b/>
                <w:sz w:val="24"/>
                <w:szCs w:val="24"/>
              </w:rPr>
              <w:t>Materials &amp; Supplies</w:t>
            </w:r>
          </w:p>
          <w:p w:rsidR="00BD04A7" w:rsidRPr="003F1ECC" w:rsidRDefault="00BD04A7" w:rsidP="00F804C2">
            <w:pPr>
              <w:rPr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 xml:space="preserve">       </w:t>
            </w:r>
            <w:r w:rsidR="005739DD">
              <w:rPr>
                <w:sz w:val="24"/>
                <w:szCs w:val="24"/>
              </w:rPr>
              <w:t>Supplies</w:t>
            </w:r>
          </w:p>
          <w:p w:rsidR="00BD04A7" w:rsidRPr="003F1ECC" w:rsidRDefault="00BD04A7" w:rsidP="00F804C2">
            <w:pPr>
              <w:rPr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 xml:space="preserve">       Promotional items</w:t>
            </w:r>
          </w:p>
          <w:p w:rsidR="00BD04A7" w:rsidRPr="003F1ECC" w:rsidRDefault="00BD04A7" w:rsidP="00F804C2">
            <w:pPr>
              <w:rPr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 xml:space="preserve">       Other</w:t>
            </w:r>
          </w:p>
          <w:p w:rsidR="00BD04A7" w:rsidRPr="003F1ECC" w:rsidRDefault="00BD04A7" w:rsidP="00F804C2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D04A7" w:rsidRPr="003F1ECC" w:rsidRDefault="00BD04A7" w:rsidP="00F804C2">
            <w:pPr>
              <w:rPr>
                <w:sz w:val="24"/>
                <w:szCs w:val="24"/>
              </w:rPr>
            </w:pPr>
          </w:p>
          <w:p w:rsidR="00BD04A7" w:rsidRPr="003F1ECC" w:rsidRDefault="00BD04A7" w:rsidP="00F804C2">
            <w:pPr>
              <w:rPr>
                <w:sz w:val="24"/>
                <w:szCs w:val="24"/>
              </w:rPr>
            </w:pPr>
          </w:p>
          <w:p w:rsidR="00BD04A7" w:rsidRPr="003F1ECC" w:rsidRDefault="00BD04A7" w:rsidP="00F804C2">
            <w:pPr>
              <w:rPr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>$</w:t>
            </w:r>
          </w:p>
          <w:p w:rsidR="00BD04A7" w:rsidRPr="003F1ECC" w:rsidRDefault="00BD04A7" w:rsidP="00F804C2">
            <w:pPr>
              <w:rPr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>$</w:t>
            </w:r>
          </w:p>
          <w:p w:rsidR="00BD04A7" w:rsidRPr="003F1ECC" w:rsidRDefault="00BD04A7" w:rsidP="00F804C2">
            <w:pPr>
              <w:rPr>
                <w:sz w:val="24"/>
                <w:szCs w:val="24"/>
              </w:rPr>
            </w:pPr>
            <w:r w:rsidRPr="003F1ECC">
              <w:rPr>
                <w:sz w:val="24"/>
                <w:szCs w:val="24"/>
              </w:rPr>
              <w:t>$</w:t>
            </w:r>
          </w:p>
        </w:tc>
      </w:tr>
      <w:tr w:rsidR="00BD04A7" w:rsidRPr="003F1ECC" w:rsidTr="00F804C2">
        <w:tc>
          <w:tcPr>
            <w:tcW w:w="5418" w:type="dxa"/>
            <w:shd w:val="clear" w:color="auto" w:fill="92CDDC" w:themeFill="accent5" w:themeFillTint="99"/>
          </w:tcPr>
          <w:p w:rsidR="00BD04A7" w:rsidRPr="003F1ECC" w:rsidRDefault="00BD04A7" w:rsidP="00F804C2">
            <w:pPr>
              <w:rPr>
                <w:b/>
                <w:sz w:val="28"/>
                <w:szCs w:val="28"/>
              </w:rPr>
            </w:pPr>
            <w:r w:rsidRPr="003F1ECC">
              <w:rPr>
                <w:b/>
                <w:sz w:val="24"/>
                <w:szCs w:val="24"/>
              </w:rPr>
              <w:t xml:space="preserve"> </w:t>
            </w:r>
            <w:r w:rsidRPr="003F1ECC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230" w:type="dxa"/>
            <w:shd w:val="clear" w:color="auto" w:fill="92CDDC" w:themeFill="accent5" w:themeFillTint="99"/>
          </w:tcPr>
          <w:p w:rsidR="00BD04A7" w:rsidRPr="003F1ECC" w:rsidRDefault="00BD04A7" w:rsidP="00F804C2">
            <w:pPr>
              <w:rPr>
                <w:b/>
                <w:sz w:val="24"/>
                <w:szCs w:val="24"/>
              </w:rPr>
            </w:pPr>
            <w:r w:rsidRPr="003F1ECC">
              <w:rPr>
                <w:b/>
                <w:sz w:val="24"/>
                <w:szCs w:val="24"/>
              </w:rPr>
              <w:t>$</w:t>
            </w:r>
          </w:p>
        </w:tc>
      </w:tr>
    </w:tbl>
    <w:p w:rsidR="003F1ECC" w:rsidRDefault="003F1ECC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2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4C2" w:rsidRDefault="00F804C2" w:rsidP="00F804C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FMI, and to submit the application and budget:</w:t>
      </w:r>
    </w:p>
    <w:p w:rsidR="00F804C2" w:rsidRDefault="00F27E9E" w:rsidP="00F804C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12" w:history="1">
        <w:r w:rsidR="00F804C2" w:rsidRPr="00843CDD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</w:rPr>
          <w:t>TobaccoPreventionServices@mainehealth.org</w:t>
        </w:r>
      </w:hyperlink>
    </w:p>
    <w:p w:rsidR="00F804C2" w:rsidRPr="003F1ECC" w:rsidRDefault="00F804C2" w:rsidP="003F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804C2" w:rsidRPr="003F1ECC" w:rsidSect="0087730F">
      <w:headerReference w:type="default" r:id="rId13"/>
      <w:footerReference w:type="default" r:id="rId14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9E" w:rsidRDefault="00F27E9E">
      <w:pPr>
        <w:spacing w:after="0" w:line="240" w:lineRule="auto"/>
      </w:pPr>
      <w:r>
        <w:separator/>
      </w:r>
    </w:p>
  </w:endnote>
  <w:endnote w:type="continuationSeparator" w:id="0">
    <w:p w:rsidR="00F27E9E" w:rsidRDefault="00F2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D9" w:rsidRPr="00BA3F73" w:rsidRDefault="007334D6" w:rsidP="00A058B6">
    <w:pPr>
      <w:pStyle w:val="CompanyName"/>
      <w:spacing w:after="0" w:line="120" w:lineRule="auto"/>
      <w:jc w:val="center"/>
      <w:rPr>
        <w:i/>
        <w:sz w:val="22"/>
        <w:szCs w:val="22"/>
      </w:rPr>
    </w:pPr>
    <w:r w:rsidRPr="00BA3F73">
      <w:rPr>
        <w:i/>
        <w:sz w:val="22"/>
        <w:szCs w:val="22"/>
      </w:rPr>
      <w:t>Center for Tobacco Independence</w:t>
    </w:r>
  </w:p>
  <w:p w:rsidR="00B242D9" w:rsidRPr="00BA3F73" w:rsidRDefault="007334D6" w:rsidP="00A058B6">
    <w:pPr>
      <w:pStyle w:val="CompanyName"/>
      <w:spacing w:after="0" w:line="120" w:lineRule="auto"/>
      <w:jc w:val="center"/>
      <w:rPr>
        <w:sz w:val="22"/>
        <w:szCs w:val="22"/>
      </w:rPr>
    </w:pPr>
    <w:r>
      <w:rPr>
        <w:sz w:val="22"/>
        <w:szCs w:val="22"/>
      </w:rPr>
      <w:t xml:space="preserve">110 Free Street </w:t>
    </w:r>
    <w:r w:rsidRPr="00BA3F73">
      <w:rPr>
        <w:sz w:val="22"/>
        <w:szCs w:val="22"/>
      </w:rPr>
      <w:t>2</w:t>
    </w:r>
    <w:r w:rsidRPr="00BA3F73">
      <w:rPr>
        <w:sz w:val="22"/>
        <w:szCs w:val="22"/>
        <w:vertAlign w:val="superscript"/>
      </w:rPr>
      <w:t>nd</w:t>
    </w:r>
    <w:r w:rsidRPr="00BA3F73">
      <w:rPr>
        <w:sz w:val="22"/>
        <w:szCs w:val="22"/>
      </w:rPr>
      <w:t xml:space="preserve"> Floor | </w:t>
    </w:r>
    <w:r>
      <w:rPr>
        <w:sz w:val="22"/>
        <w:szCs w:val="22"/>
      </w:rPr>
      <w:t>Portland, ME 04101</w:t>
    </w:r>
  </w:p>
  <w:p w:rsidR="00B242D9" w:rsidRPr="00BA3F73" w:rsidRDefault="007334D6" w:rsidP="00A058B6">
    <w:pPr>
      <w:pStyle w:val="CompanyName"/>
      <w:spacing w:after="0" w:line="120" w:lineRule="auto"/>
      <w:jc w:val="center"/>
      <w:rPr>
        <w:sz w:val="22"/>
        <w:szCs w:val="22"/>
      </w:rPr>
    </w:pPr>
    <w:proofErr w:type="gramStart"/>
    <w:r>
      <w:rPr>
        <w:i/>
        <w:sz w:val="22"/>
        <w:szCs w:val="22"/>
      </w:rPr>
      <w:t>phone</w:t>
    </w:r>
    <w:proofErr w:type="gramEnd"/>
    <w:r>
      <w:rPr>
        <w:i/>
        <w:sz w:val="22"/>
        <w:szCs w:val="22"/>
      </w:rPr>
      <w:t xml:space="preserve"> </w:t>
    </w:r>
    <w:r w:rsidRPr="00BA3F73">
      <w:rPr>
        <w:sz w:val="22"/>
        <w:szCs w:val="22"/>
      </w:rPr>
      <w:t>207-662-7154</w:t>
    </w:r>
    <w:r>
      <w:rPr>
        <w:sz w:val="22"/>
        <w:szCs w:val="22"/>
      </w:rPr>
      <w:t xml:space="preserve"> </w:t>
    </w:r>
    <w:r w:rsidRPr="00BA3F73">
      <w:rPr>
        <w:sz w:val="22"/>
        <w:szCs w:val="22"/>
      </w:rPr>
      <w:t xml:space="preserve">|  </w:t>
    </w:r>
    <w:r w:rsidRPr="00BA3F73">
      <w:rPr>
        <w:i/>
        <w:sz w:val="22"/>
        <w:szCs w:val="22"/>
      </w:rPr>
      <w:t>fax</w:t>
    </w:r>
    <w:r w:rsidRPr="00BA3F73">
      <w:rPr>
        <w:sz w:val="22"/>
        <w:szCs w:val="22"/>
      </w:rPr>
      <w:t xml:space="preserve"> 207-662-7135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9E" w:rsidRDefault="00F27E9E">
      <w:pPr>
        <w:spacing w:after="0" w:line="240" w:lineRule="auto"/>
      </w:pPr>
      <w:r>
        <w:separator/>
      </w:r>
    </w:p>
  </w:footnote>
  <w:footnote w:type="continuationSeparator" w:id="0">
    <w:p w:rsidR="00F27E9E" w:rsidRDefault="00F2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8F" w:rsidRDefault="001302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C507D8" wp14:editId="29E82E6A">
          <wp:simplePos x="0" y="0"/>
          <wp:positionH relativeFrom="margin">
            <wp:align>center</wp:align>
          </wp:positionH>
          <wp:positionV relativeFrom="margin">
            <wp:posOffset>-429370</wp:posOffset>
          </wp:positionV>
          <wp:extent cx="1495425" cy="57711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H_CT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5771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4B47"/>
    <w:multiLevelType w:val="hybridMultilevel"/>
    <w:tmpl w:val="62E0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8585D"/>
    <w:multiLevelType w:val="hybridMultilevel"/>
    <w:tmpl w:val="7ED65D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570CB5"/>
    <w:multiLevelType w:val="hybridMultilevel"/>
    <w:tmpl w:val="6F74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CC"/>
    <w:rsid w:val="00012CF8"/>
    <w:rsid w:val="000D1EA3"/>
    <w:rsid w:val="000F5374"/>
    <w:rsid w:val="0013028F"/>
    <w:rsid w:val="00144958"/>
    <w:rsid w:val="00194C49"/>
    <w:rsid w:val="001A168E"/>
    <w:rsid w:val="001F7EFA"/>
    <w:rsid w:val="00210F0D"/>
    <w:rsid w:val="00255124"/>
    <w:rsid w:val="0028724C"/>
    <w:rsid w:val="002B3CFE"/>
    <w:rsid w:val="003204CF"/>
    <w:rsid w:val="003B4FFB"/>
    <w:rsid w:val="003F1ECC"/>
    <w:rsid w:val="0041325C"/>
    <w:rsid w:val="00443B09"/>
    <w:rsid w:val="004466E8"/>
    <w:rsid w:val="004A29F7"/>
    <w:rsid w:val="004F73DF"/>
    <w:rsid w:val="00503092"/>
    <w:rsid w:val="005641AF"/>
    <w:rsid w:val="005739DD"/>
    <w:rsid w:val="00581D8B"/>
    <w:rsid w:val="005A1BC5"/>
    <w:rsid w:val="005A751D"/>
    <w:rsid w:val="005B5FD5"/>
    <w:rsid w:val="00653D3F"/>
    <w:rsid w:val="00666B1C"/>
    <w:rsid w:val="00673412"/>
    <w:rsid w:val="00677CDD"/>
    <w:rsid w:val="00730E1F"/>
    <w:rsid w:val="007334D6"/>
    <w:rsid w:val="00800FF5"/>
    <w:rsid w:val="008101C3"/>
    <w:rsid w:val="0087730F"/>
    <w:rsid w:val="00883FEB"/>
    <w:rsid w:val="008A2AD7"/>
    <w:rsid w:val="009D547C"/>
    <w:rsid w:val="00AB6B24"/>
    <w:rsid w:val="00AE1B02"/>
    <w:rsid w:val="00B06EFE"/>
    <w:rsid w:val="00B421C5"/>
    <w:rsid w:val="00B47A67"/>
    <w:rsid w:val="00B741F0"/>
    <w:rsid w:val="00BD04A7"/>
    <w:rsid w:val="00C2612C"/>
    <w:rsid w:val="00C41BB6"/>
    <w:rsid w:val="00C4245B"/>
    <w:rsid w:val="00CC096B"/>
    <w:rsid w:val="00CE4FA8"/>
    <w:rsid w:val="00CE625C"/>
    <w:rsid w:val="00D4076D"/>
    <w:rsid w:val="00D90A94"/>
    <w:rsid w:val="00E37427"/>
    <w:rsid w:val="00E378EE"/>
    <w:rsid w:val="00F27E9E"/>
    <w:rsid w:val="00F8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uiPriority w:val="99"/>
    <w:rsid w:val="003F1ECC"/>
    <w:pPr>
      <w:spacing w:before="120" w:after="8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rsid w:val="003F1EC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F1E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1ECC"/>
  </w:style>
  <w:style w:type="table" w:customStyle="1" w:styleId="TableGrid1">
    <w:name w:val="Table Grid1"/>
    <w:basedOn w:val="TableNormal"/>
    <w:next w:val="TableGrid"/>
    <w:rsid w:val="007334D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28F"/>
  </w:style>
  <w:style w:type="paragraph" w:styleId="Footer">
    <w:name w:val="footer"/>
    <w:basedOn w:val="Normal"/>
    <w:link w:val="FooterChar"/>
    <w:uiPriority w:val="99"/>
    <w:unhideWhenUsed/>
    <w:rsid w:val="0013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28F"/>
  </w:style>
  <w:style w:type="paragraph" w:styleId="ListParagraph">
    <w:name w:val="List Paragraph"/>
    <w:basedOn w:val="Normal"/>
    <w:uiPriority w:val="34"/>
    <w:qFormat/>
    <w:rsid w:val="00BD0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9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2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1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uiPriority w:val="99"/>
    <w:rsid w:val="003F1ECC"/>
    <w:pPr>
      <w:spacing w:before="120" w:after="8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rsid w:val="003F1EC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F1E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1ECC"/>
  </w:style>
  <w:style w:type="table" w:customStyle="1" w:styleId="TableGrid1">
    <w:name w:val="Table Grid1"/>
    <w:basedOn w:val="TableNormal"/>
    <w:next w:val="TableGrid"/>
    <w:rsid w:val="007334D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28F"/>
  </w:style>
  <w:style w:type="paragraph" w:styleId="Footer">
    <w:name w:val="footer"/>
    <w:basedOn w:val="Normal"/>
    <w:link w:val="FooterChar"/>
    <w:uiPriority w:val="99"/>
    <w:unhideWhenUsed/>
    <w:rsid w:val="00130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28F"/>
  </w:style>
  <w:style w:type="paragraph" w:styleId="ListParagraph">
    <w:name w:val="List Paragraph"/>
    <w:basedOn w:val="Normal"/>
    <w:uiPriority w:val="34"/>
    <w:qFormat/>
    <w:rsid w:val="00BD0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9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2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1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baccoPreventionServices@mainehealth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baccoPreventionServices@mainehealth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obaccoPreventionServices@mainehealt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timaine.org/resourc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DCC9-FD8F-48EC-9943-6F0238AB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L. Ginley</dc:creator>
  <cp:lastModifiedBy>Sarah A. Mayberry</cp:lastModifiedBy>
  <cp:revision>2</cp:revision>
  <dcterms:created xsi:type="dcterms:W3CDTF">2021-03-01T13:55:00Z</dcterms:created>
  <dcterms:modified xsi:type="dcterms:W3CDTF">2021-03-01T13:55:00Z</dcterms:modified>
</cp:coreProperties>
</file>